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823C" w14:textId="47FF1E4C" w:rsidR="005405B1" w:rsidRPr="005405B1" w:rsidRDefault="007A6CF2" w:rsidP="00E129DE">
      <w:pPr>
        <w:rPr>
          <w:rFonts w:ascii="Georgia" w:eastAsia="Times New Roman" w:hAnsi="Georgia" w:cs="Segoe UI"/>
          <w:kern w:val="0"/>
          <w:szCs w:val="22"/>
          <w14:ligatures w14:val="none"/>
        </w:rPr>
      </w:pPr>
      <w:r w:rsidRPr="009476FA">
        <w:rPr>
          <w:rFonts w:ascii="Georgia" w:eastAsia="Times New Roman" w:hAnsi="Georgia" w:cs="Segoe UI"/>
          <w:kern w:val="0"/>
          <w:sz w:val="72"/>
          <w:szCs w:val="72"/>
          <w14:ligatures w14:val="none"/>
        </w:rPr>
        <w:t>FEEDS &amp; FEEDING</w:t>
      </w:r>
      <w:r w:rsidR="00E129DE" w:rsidRPr="009476FA">
        <w:rPr>
          <w:rFonts w:ascii="Georgia" w:eastAsia="Times New Roman" w:hAnsi="Georgia" w:cs="Segoe UI"/>
          <w:kern w:val="0"/>
          <w:sz w:val="72"/>
          <w:szCs w:val="72"/>
          <w14:ligatures w14:val="none"/>
        </w:rPr>
        <w:br/>
      </w:r>
      <w:r w:rsidR="003452B6">
        <w:rPr>
          <w:rFonts w:ascii="Georgia" w:eastAsia="Times New Roman" w:hAnsi="Georgia" w:cs="Segoe UI"/>
          <w:kern w:val="0"/>
          <w:szCs w:val="22"/>
          <w14:ligatures w14:val="none"/>
        </w:rPr>
        <w:t xml:space="preserve">A TECHNICAL PUBLICATION OF THE </w:t>
      </w:r>
      <w:r w:rsidRPr="009476FA">
        <w:rPr>
          <w:rFonts w:ascii="Georgia" w:eastAsia="Times New Roman" w:hAnsi="Georgia" w:cs="Segoe UI"/>
          <w:kern w:val="0"/>
          <w:szCs w:val="22"/>
          <w14:ligatures w14:val="none"/>
        </w:rPr>
        <w:t>ANIMAL NUTRITION ACADEMY</w:t>
      </w:r>
      <w:r w:rsidRPr="009476FA">
        <w:rPr>
          <w:rFonts w:ascii="Georgia" w:eastAsia="Times New Roman" w:hAnsi="Georgia" w:cs="Segoe UI"/>
          <w:kern w:val="0"/>
          <w:szCs w:val="22"/>
          <w14:ligatures w14:val="none"/>
        </w:rPr>
        <w:br/>
      </w:r>
      <w:r w:rsidR="00B46111">
        <w:rPr>
          <w:rFonts w:ascii="Georgia" w:eastAsia="Times New Roman" w:hAnsi="Georgia" w:cs="Segoe UI"/>
          <w:kern w:val="0"/>
          <w:szCs w:val="22"/>
          <w14:ligatures w14:val="none"/>
        </w:rPr>
        <w:t>Volume</w:t>
      </w:r>
      <w:r w:rsidRPr="009476FA">
        <w:rPr>
          <w:rFonts w:ascii="Georgia" w:eastAsia="Times New Roman" w:hAnsi="Georgia" w:cs="Segoe UI"/>
          <w:kern w:val="0"/>
          <w:szCs w:val="22"/>
          <w14:ligatures w14:val="none"/>
        </w:rPr>
        <w:t xml:space="preserve"> 2 – I</w:t>
      </w:r>
      <w:r w:rsidR="00B46111">
        <w:rPr>
          <w:rFonts w:ascii="Georgia" w:eastAsia="Times New Roman" w:hAnsi="Georgia" w:cs="Segoe UI"/>
          <w:kern w:val="0"/>
          <w:szCs w:val="22"/>
          <w14:ligatures w14:val="none"/>
        </w:rPr>
        <w:t>ssue</w:t>
      </w:r>
      <w:r w:rsidRPr="009476FA">
        <w:rPr>
          <w:rFonts w:ascii="Georgia" w:eastAsia="Times New Roman" w:hAnsi="Georgia" w:cs="Segoe UI"/>
          <w:kern w:val="0"/>
          <w:szCs w:val="22"/>
          <w14:ligatures w14:val="none"/>
        </w:rPr>
        <w:t xml:space="preserve"> 1</w:t>
      </w:r>
    </w:p>
    <w:p w14:paraId="785FA845" w14:textId="4D871239" w:rsidR="00E129DE" w:rsidRPr="003452B6" w:rsidRDefault="00FE5229" w:rsidP="003452B6">
      <w:pPr>
        <w:rPr>
          <w:rFonts w:ascii="Georgia" w:eastAsia="Times New Roman" w:hAnsi="Georgia" w:cs="Segoe UI"/>
          <w:kern w:val="0"/>
          <w:szCs w:val="22"/>
          <w14:ligatures w14:val="none"/>
        </w:rPr>
      </w:pPr>
      <w:r w:rsidRPr="009476FA">
        <w:rPr>
          <w:rFonts w:ascii="Georgia" w:eastAsia="Times New Roman" w:hAnsi="Georgia" w:cs="Segoe UI"/>
          <w:kern w:val="0"/>
          <w:sz w:val="40"/>
          <w:szCs w:val="40"/>
          <w14:ligatures w14:val="none"/>
        </w:rPr>
        <w:t xml:space="preserve">Why probiotics </w:t>
      </w:r>
      <w:r w:rsidR="00D910CE">
        <w:rPr>
          <w:rFonts w:ascii="Georgia" w:eastAsia="Times New Roman" w:hAnsi="Georgia" w:cs="Segoe UI"/>
          <w:kern w:val="0"/>
          <w:sz w:val="40"/>
          <w:szCs w:val="40"/>
          <w14:ligatures w14:val="none"/>
        </w:rPr>
        <w:t>rarely</w:t>
      </w:r>
      <w:r w:rsidRPr="009476FA">
        <w:rPr>
          <w:rFonts w:ascii="Georgia" w:eastAsia="Times New Roman" w:hAnsi="Georgia" w:cs="Segoe UI"/>
          <w:kern w:val="0"/>
          <w:sz w:val="40"/>
          <w:szCs w:val="40"/>
          <w14:ligatures w14:val="none"/>
        </w:rPr>
        <w:t xml:space="preserve"> deliver consistently in poultry</w:t>
      </w:r>
      <w:r w:rsidR="00E129DE" w:rsidRPr="009476FA">
        <w:rPr>
          <w:rFonts w:ascii="Georgia" w:eastAsia="Times New Roman" w:hAnsi="Georgia" w:cs="Segoe UI"/>
          <w:kern w:val="0"/>
          <w:sz w:val="44"/>
          <w:szCs w:val="44"/>
          <w14:ligatures w14:val="none"/>
        </w:rPr>
        <w:br/>
      </w:r>
      <w:r w:rsidR="007A6CF2" w:rsidRPr="009476FA">
        <w:rPr>
          <w:rFonts w:ascii="Georgia" w:eastAsia="Times New Roman" w:hAnsi="Georgia" w:cs="Segoe UI"/>
          <w:kern w:val="0"/>
          <w:szCs w:val="22"/>
          <w14:ligatures w14:val="none"/>
        </w:rPr>
        <w:t>Ioannis Mavromichalis, MSc, PhD</w:t>
      </w:r>
    </w:p>
    <w:p w14:paraId="58921A83" w14:textId="77777777" w:rsidR="00FE5229" w:rsidRPr="009476FA" w:rsidRDefault="00FE5229" w:rsidP="003C0371">
      <w:pPr>
        <w:spacing w:after="0" w:line="276" w:lineRule="auto"/>
        <w:rPr>
          <w:rFonts w:ascii="Georgia" w:eastAsia="Times New Roman" w:hAnsi="Georgia" w:cs="Segoe UI"/>
          <w:b/>
          <w:bCs/>
          <w:kern w:val="0"/>
          <w:szCs w:val="22"/>
          <w14:ligatures w14:val="none"/>
        </w:rPr>
      </w:pPr>
    </w:p>
    <w:p w14:paraId="3536612B" w14:textId="01FD4C12" w:rsidR="00FE5229" w:rsidRDefault="00FE5229" w:rsidP="003C0371">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kern w:val="0"/>
          <w:szCs w:val="22"/>
          <w14:ligatures w14:val="none"/>
        </w:rPr>
        <w:t>This issue examines the inherent biological variability in poultry systems and argues that probiotics may deliver their greatest value by reducing variation across flocks rather than maximizing performance.</w:t>
      </w:r>
    </w:p>
    <w:p w14:paraId="5764D220" w14:textId="77777777" w:rsidR="005405B1" w:rsidRPr="009476FA" w:rsidRDefault="005405B1" w:rsidP="003C0371">
      <w:pPr>
        <w:spacing w:after="0" w:line="276" w:lineRule="auto"/>
        <w:rPr>
          <w:rFonts w:ascii="Georgia" w:eastAsia="Times New Roman" w:hAnsi="Georgia" w:cs="Segoe UI"/>
          <w:kern w:val="0"/>
          <w:szCs w:val="22"/>
          <w14:ligatures w14:val="none"/>
        </w:rPr>
      </w:pPr>
    </w:p>
    <w:p w14:paraId="17EB8710" w14:textId="77777777" w:rsidR="00FE5229" w:rsidRPr="009476FA" w:rsidRDefault="00FE5229" w:rsidP="003C0371">
      <w:pPr>
        <w:spacing w:after="0" w:line="276" w:lineRule="auto"/>
        <w:rPr>
          <w:rFonts w:ascii="Georgia" w:eastAsia="Times New Roman" w:hAnsi="Georgia" w:cs="Segoe UI"/>
          <w:kern w:val="0"/>
          <w:szCs w:val="22"/>
          <w14:ligatures w14:val="none"/>
        </w:rPr>
      </w:pPr>
    </w:p>
    <w:p w14:paraId="12D63D0F" w14:textId="77777777" w:rsidR="00FE5229" w:rsidRPr="009476FA" w:rsidRDefault="00FE5229" w:rsidP="003C0371">
      <w:pPr>
        <w:spacing w:after="0" w:line="276" w:lineRule="auto"/>
        <w:rPr>
          <w:rFonts w:ascii="Georgia" w:eastAsia="Times New Roman" w:hAnsi="Georgia" w:cs="Segoe UI"/>
          <w:kern w:val="0"/>
          <w:szCs w:val="22"/>
          <w14:ligatures w14:val="none"/>
        </w:rPr>
      </w:pPr>
    </w:p>
    <w:p w14:paraId="202240C3" w14:textId="77777777" w:rsidR="00FE5229" w:rsidRPr="009476FA" w:rsidRDefault="00FE5229" w:rsidP="003C0371">
      <w:pPr>
        <w:spacing w:after="0" w:line="276" w:lineRule="auto"/>
        <w:rPr>
          <w:rFonts w:ascii="Georgia" w:eastAsia="Times New Roman" w:hAnsi="Georgia" w:cs="Segoe UI"/>
          <w:kern w:val="0"/>
          <w:szCs w:val="22"/>
          <w14:ligatures w14:val="none"/>
        </w:rPr>
      </w:pPr>
    </w:p>
    <w:p w14:paraId="45B5BD84" w14:textId="46B764D8" w:rsidR="00FE5229" w:rsidRPr="009476FA" w:rsidRDefault="00FE5229" w:rsidP="003C0371">
      <w:pPr>
        <w:spacing w:after="0" w:line="276" w:lineRule="auto"/>
        <w:rPr>
          <w:rFonts w:ascii="Georgia" w:eastAsia="Times New Roman" w:hAnsi="Georgia" w:cs="Segoe UI"/>
          <w:kern w:val="0"/>
          <w:szCs w:val="22"/>
          <w14:ligatures w14:val="none"/>
        </w:rPr>
        <w:sectPr w:rsidR="00FE5229" w:rsidRPr="009476FA" w:rsidSect="00E129DE">
          <w:footerReference w:type="even" r:id="rId6"/>
          <w:footerReference w:type="default" r:id="rId7"/>
          <w:pgSz w:w="12240" w:h="15840"/>
          <w:pgMar w:top="1080" w:right="1080" w:bottom="1080" w:left="1080" w:header="720" w:footer="720" w:gutter="0"/>
          <w:cols w:space="720"/>
          <w:docGrid w:linePitch="360"/>
        </w:sectPr>
      </w:pPr>
    </w:p>
    <w:p w14:paraId="13515AFA" w14:textId="51FAEB1D" w:rsidR="00831B24" w:rsidRPr="009476FA" w:rsidRDefault="00831B24" w:rsidP="00E129DE">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b/>
          <w:bCs/>
          <w:kern w:val="0"/>
          <w:szCs w:val="22"/>
          <w14:ligatures w14:val="none"/>
        </w:rPr>
        <w:t>Recently</w:t>
      </w:r>
      <w:r w:rsidRPr="009476FA">
        <w:rPr>
          <w:rFonts w:ascii="Georgia" w:eastAsia="Times New Roman" w:hAnsi="Georgia" w:cs="Segoe UI"/>
          <w:kern w:val="0"/>
          <w:szCs w:val="22"/>
          <w14:ligatures w14:val="none"/>
        </w:rPr>
        <w:t>, I had a discussion with a senior poultry executive from a large integrated operation. What surprised me was not that they had tested probiotics extensively. Most large poultry companies have already done that.</w:t>
      </w:r>
    </w:p>
    <w:p w14:paraId="331BF03A" w14:textId="528E8BE2" w:rsidR="00831B24" w:rsidRPr="009476FA" w:rsidRDefault="00831B24" w:rsidP="00E129DE">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kern w:val="0"/>
          <w:szCs w:val="22"/>
          <w14:ligatures w14:val="none"/>
        </w:rPr>
        <w:t>What surprised me was his observation that, despite having evaluated almost every major commercial product available, responses remained frustratingly inconsistent, when these products were used in the field.</w:t>
      </w:r>
    </w:p>
    <w:p w14:paraId="51DBBEE1" w14:textId="77777777" w:rsidR="00831B24" w:rsidRPr="009476FA" w:rsidRDefault="00831B24" w:rsidP="00E129DE">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kern w:val="0"/>
          <w:szCs w:val="22"/>
          <w14:ligatures w14:val="none"/>
        </w:rPr>
        <w:t xml:space="preserve">This conversation stayed with me because I have heard similar comments before and </w:t>
      </w:r>
      <w:proofErr w:type="gramStart"/>
      <w:r w:rsidRPr="009476FA">
        <w:rPr>
          <w:rFonts w:ascii="Georgia" w:eastAsia="Times New Roman" w:hAnsi="Georgia" w:cs="Segoe UI"/>
          <w:kern w:val="0"/>
          <w:szCs w:val="22"/>
          <w14:ligatures w14:val="none"/>
        </w:rPr>
        <w:t>actually during</w:t>
      </w:r>
      <w:proofErr w:type="gramEnd"/>
      <w:r w:rsidRPr="009476FA">
        <w:rPr>
          <w:rFonts w:ascii="Georgia" w:eastAsia="Times New Roman" w:hAnsi="Georgia" w:cs="Segoe UI"/>
          <w:kern w:val="0"/>
          <w:szCs w:val="22"/>
          <w14:ligatures w14:val="none"/>
        </w:rPr>
        <w:t xml:space="preserve"> my recent visit at VIV Europe 2026.</w:t>
      </w:r>
    </w:p>
    <w:p w14:paraId="1686A882" w14:textId="159324EA" w:rsidR="00831B24" w:rsidRPr="009476FA" w:rsidRDefault="00831B24" w:rsidP="00E129DE">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kern w:val="0"/>
          <w:szCs w:val="22"/>
          <w14:ligatures w14:val="none"/>
        </w:rPr>
        <w:t xml:space="preserve">Perhaps, the problem is not that probiotics do not work. Perhaps, the problem is that we are measuring them the wrong way. Probiotics are biological tools operating inside biological </w:t>
      </w:r>
      <w:proofErr w:type="gramStart"/>
      <w:r w:rsidRPr="009476FA">
        <w:rPr>
          <w:rFonts w:ascii="Georgia" w:eastAsia="Times New Roman" w:hAnsi="Georgia" w:cs="Segoe UI"/>
          <w:kern w:val="0"/>
          <w:szCs w:val="22"/>
          <w14:ligatures w14:val="none"/>
        </w:rPr>
        <w:t>And</w:t>
      </w:r>
      <w:proofErr w:type="gramEnd"/>
      <w:r w:rsidRPr="009476FA">
        <w:rPr>
          <w:rFonts w:ascii="Georgia" w:eastAsia="Times New Roman" w:hAnsi="Georgia" w:cs="Segoe UI"/>
          <w:kern w:val="0"/>
          <w:szCs w:val="22"/>
          <w14:ligatures w14:val="none"/>
        </w:rPr>
        <w:t xml:space="preserve"> biological systems are inherently variable. Let me explain...</w:t>
      </w:r>
    </w:p>
    <w:p w14:paraId="5130C78D" w14:textId="77777777" w:rsidR="00E129DE" w:rsidRPr="009476FA" w:rsidRDefault="00E129DE" w:rsidP="00E129DE">
      <w:pPr>
        <w:spacing w:after="0" w:line="276" w:lineRule="auto"/>
        <w:rPr>
          <w:rFonts w:ascii="Georgia" w:eastAsia="Times New Roman" w:hAnsi="Georgia" w:cs="Segoe UI"/>
          <w:kern w:val="0"/>
          <w:szCs w:val="22"/>
          <w14:ligatures w14:val="none"/>
        </w:rPr>
      </w:pPr>
    </w:p>
    <w:p w14:paraId="65D83C7A" w14:textId="745C2ACE" w:rsidR="00831B24" w:rsidRPr="009476FA" w:rsidRDefault="00831B24" w:rsidP="00E129DE">
      <w:pPr>
        <w:spacing w:after="0" w:line="276" w:lineRule="auto"/>
        <w:outlineLvl w:val="2"/>
        <w:rPr>
          <w:rFonts w:ascii="Georgia" w:eastAsia="Times New Roman" w:hAnsi="Georgia" w:cs="Segoe UI"/>
          <w:b/>
          <w:bCs/>
          <w:kern w:val="0"/>
          <w:szCs w:val="22"/>
          <w14:ligatures w14:val="none"/>
        </w:rPr>
      </w:pPr>
      <w:r w:rsidRPr="009476FA">
        <w:rPr>
          <w:rFonts w:ascii="Georgia" w:eastAsia="Times New Roman" w:hAnsi="Georgia" w:cs="Segoe UI"/>
          <w:b/>
          <w:bCs/>
          <w:kern w:val="0"/>
          <w:szCs w:val="22"/>
          <w14:ligatures w14:val="none"/>
        </w:rPr>
        <w:t>Probiotics are biological systems</w:t>
      </w:r>
      <w:r w:rsidR="00E129DE" w:rsidRPr="009476FA">
        <w:rPr>
          <w:rFonts w:ascii="Georgia" w:eastAsia="Times New Roman" w:hAnsi="Georgia" w:cs="Segoe UI"/>
          <w:b/>
          <w:bCs/>
          <w:kern w:val="0"/>
          <w:szCs w:val="22"/>
          <w14:ligatures w14:val="none"/>
        </w:rPr>
        <w:br/>
      </w:r>
      <w:r w:rsidRPr="009476FA">
        <w:rPr>
          <w:rFonts w:ascii="Georgia" w:eastAsia="Times New Roman" w:hAnsi="Georgia" w:cs="Segoe UI"/>
          <w:kern w:val="0"/>
          <w:szCs w:val="22"/>
          <w14:ligatures w14:val="none"/>
        </w:rPr>
        <w:t>Unlike synthetic additives, probiotics consist of living organisms. Even products from the same supplier and manufactured to the same specification will naturally exhibit some degree of biological variation. Absolute consistency should not be expected from living systems. Expecting otherwise is defying nature.</w:t>
      </w:r>
      <w:r w:rsidR="007A6CF2" w:rsidRPr="009476FA">
        <w:rPr>
          <w:rFonts w:ascii="Georgia" w:eastAsia="Times New Roman" w:hAnsi="Georgia" w:cs="Segoe UI"/>
          <w:noProof/>
          <w:kern w:val="0"/>
          <w:szCs w:val="22"/>
        </w:rPr>
        <w:t xml:space="preserve"> </w:t>
      </w:r>
    </w:p>
    <w:p w14:paraId="1E13EACE" w14:textId="77777777" w:rsidR="00E129DE" w:rsidRPr="009476FA" w:rsidRDefault="00E129DE" w:rsidP="00E129DE">
      <w:pPr>
        <w:spacing w:after="0" w:line="276" w:lineRule="auto"/>
        <w:outlineLvl w:val="2"/>
        <w:rPr>
          <w:rFonts w:ascii="Georgia" w:eastAsia="Times New Roman" w:hAnsi="Georgia" w:cs="Segoe UI"/>
          <w:b/>
          <w:bCs/>
          <w:kern w:val="0"/>
          <w:szCs w:val="22"/>
          <w14:ligatures w14:val="none"/>
        </w:rPr>
      </w:pPr>
    </w:p>
    <w:p w14:paraId="747E612F" w14:textId="091883D1" w:rsidR="00831B24" w:rsidRPr="009476FA" w:rsidRDefault="00831B24" w:rsidP="00E129DE">
      <w:pPr>
        <w:spacing w:after="0" w:line="276" w:lineRule="auto"/>
        <w:outlineLvl w:val="2"/>
        <w:rPr>
          <w:rFonts w:ascii="Georgia" w:eastAsia="Times New Roman" w:hAnsi="Georgia" w:cs="Segoe UI"/>
          <w:kern w:val="0"/>
          <w:szCs w:val="22"/>
          <w14:ligatures w14:val="none"/>
        </w:rPr>
      </w:pPr>
      <w:r w:rsidRPr="009476FA">
        <w:rPr>
          <w:rFonts w:ascii="Georgia" w:eastAsia="Times New Roman" w:hAnsi="Georgia" w:cs="Segoe UI"/>
          <w:b/>
          <w:bCs/>
          <w:kern w:val="0"/>
          <w:szCs w:val="22"/>
          <w14:ligatures w14:val="none"/>
        </w:rPr>
        <w:t>Birds are never identical</w:t>
      </w:r>
      <w:r w:rsidRPr="009476FA">
        <w:rPr>
          <w:rFonts w:ascii="Georgia" w:eastAsia="Times New Roman" w:hAnsi="Georgia" w:cs="Segoe UI"/>
          <w:b/>
          <w:bCs/>
          <w:kern w:val="0"/>
          <w:szCs w:val="22"/>
          <w14:ligatures w14:val="none"/>
        </w:rPr>
        <w:br/>
      </w:r>
      <w:r w:rsidRPr="009476FA">
        <w:rPr>
          <w:rFonts w:ascii="Georgia" w:eastAsia="Times New Roman" w:hAnsi="Georgia" w:cs="Segoe UI"/>
          <w:kern w:val="0"/>
          <w:szCs w:val="22"/>
          <w14:ligatures w14:val="none"/>
        </w:rPr>
        <w:t>Commercial poultry genetics are highly</w:t>
      </w:r>
      <w:r w:rsidR="003C0371" w:rsidRPr="009476FA">
        <w:rPr>
          <w:rFonts w:ascii="Georgia" w:eastAsia="Times New Roman" w:hAnsi="Georgia" w:cs="Segoe UI"/>
          <w:kern w:val="0"/>
          <w:szCs w:val="22"/>
          <w14:ligatures w14:val="none"/>
        </w:rPr>
        <w:t xml:space="preserve"> </w:t>
      </w:r>
      <w:r w:rsidRPr="009476FA">
        <w:rPr>
          <w:rFonts w:ascii="Georgia" w:eastAsia="Times New Roman" w:hAnsi="Georgia" w:cs="Segoe UI"/>
          <w:kern w:val="0"/>
          <w:szCs w:val="22"/>
          <w14:ligatures w14:val="none"/>
        </w:rPr>
        <w:t>uniform compared with other livestock species. Yet even birds from the same breeder flock are not completely identical. Differences in hatch quality, immune status, early feed intake, and growth potential already create variability before probiotics even enter the discussion. Not all eggs are the same size, so how do we expect all chicks to be identical?</w:t>
      </w:r>
    </w:p>
    <w:p w14:paraId="74E35C8C" w14:textId="77777777" w:rsidR="00E129DE" w:rsidRPr="009476FA" w:rsidRDefault="00E129DE" w:rsidP="00E129DE">
      <w:pPr>
        <w:spacing w:after="0" w:line="276" w:lineRule="auto"/>
        <w:outlineLvl w:val="2"/>
        <w:rPr>
          <w:rFonts w:ascii="Georgia" w:eastAsia="Times New Roman" w:hAnsi="Georgia" w:cs="Segoe UI"/>
          <w:kern w:val="0"/>
          <w:szCs w:val="22"/>
          <w14:ligatures w14:val="none"/>
        </w:rPr>
      </w:pPr>
    </w:p>
    <w:p w14:paraId="0C2C7C53" w14:textId="247999DD" w:rsidR="00831B24" w:rsidRPr="009476FA" w:rsidRDefault="00831B24" w:rsidP="00E129DE">
      <w:pPr>
        <w:spacing w:after="0" w:line="276" w:lineRule="auto"/>
        <w:outlineLvl w:val="2"/>
        <w:rPr>
          <w:rFonts w:ascii="Georgia" w:eastAsia="Times New Roman" w:hAnsi="Georgia" w:cs="Segoe UI"/>
          <w:kern w:val="0"/>
          <w:szCs w:val="22"/>
          <w14:ligatures w14:val="none"/>
        </w:rPr>
      </w:pPr>
      <w:r w:rsidRPr="009476FA">
        <w:rPr>
          <w:rFonts w:ascii="Georgia" w:eastAsia="Times New Roman" w:hAnsi="Georgia" w:cs="Segoe UI"/>
          <w:b/>
          <w:bCs/>
          <w:kern w:val="0"/>
          <w:szCs w:val="22"/>
          <w14:ligatures w14:val="none"/>
        </w:rPr>
        <w:t>Similar farms are never truly the same</w:t>
      </w:r>
      <w:r w:rsidRPr="009476FA">
        <w:rPr>
          <w:rFonts w:ascii="Georgia" w:eastAsia="Times New Roman" w:hAnsi="Georgia" w:cs="Segoe UI"/>
          <w:b/>
          <w:bCs/>
          <w:kern w:val="0"/>
          <w:szCs w:val="22"/>
          <w14:ligatures w14:val="none"/>
        </w:rPr>
        <w:br/>
      </w:r>
      <w:r w:rsidRPr="009476FA">
        <w:rPr>
          <w:rFonts w:ascii="Georgia" w:eastAsia="Times New Roman" w:hAnsi="Georgia" w:cs="Segoe UI"/>
          <w:kern w:val="0"/>
          <w:szCs w:val="22"/>
          <w14:ligatures w14:val="none"/>
        </w:rPr>
        <w:t xml:space="preserve">Two houses may appear identical on paper or sitting on the ground next to each other. </w:t>
      </w:r>
      <w:proofErr w:type="gramStart"/>
      <w:r w:rsidRPr="009476FA">
        <w:rPr>
          <w:rFonts w:ascii="Georgia" w:eastAsia="Times New Roman" w:hAnsi="Georgia" w:cs="Segoe UI"/>
          <w:kern w:val="0"/>
          <w:szCs w:val="22"/>
          <w14:ligatures w14:val="none"/>
        </w:rPr>
        <w:t>In reality, differences</w:t>
      </w:r>
      <w:proofErr w:type="gramEnd"/>
      <w:r w:rsidRPr="009476FA">
        <w:rPr>
          <w:rFonts w:ascii="Georgia" w:eastAsia="Times New Roman" w:hAnsi="Georgia" w:cs="Segoe UI"/>
          <w:kern w:val="0"/>
          <w:szCs w:val="22"/>
          <w14:ligatures w14:val="none"/>
        </w:rPr>
        <w:t xml:space="preserve"> in temperature, humidity, litter quality, ventilation, water systems, and especially management practices create unique micro-environments. Small environmental differences often translate into different biological responses.</w:t>
      </w:r>
    </w:p>
    <w:p w14:paraId="454137C5" w14:textId="77777777" w:rsidR="00E129DE" w:rsidRPr="009476FA" w:rsidRDefault="00E129DE" w:rsidP="00E129DE">
      <w:pPr>
        <w:spacing w:after="0" w:line="276" w:lineRule="auto"/>
        <w:outlineLvl w:val="2"/>
        <w:rPr>
          <w:rFonts w:ascii="Georgia" w:eastAsia="Times New Roman" w:hAnsi="Georgia" w:cs="Segoe UI"/>
          <w:b/>
          <w:bCs/>
          <w:kern w:val="0"/>
          <w:szCs w:val="22"/>
          <w14:ligatures w14:val="none"/>
        </w:rPr>
      </w:pPr>
    </w:p>
    <w:p w14:paraId="176DF69F" w14:textId="153DF8AF" w:rsidR="00831B24" w:rsidRPr="009476FA" w:rsidRDefault="00831B24" w:rsidP="00E129DE">
      <w:pPr>
        <w:spacing w:after="0" w:line="276" w:lineRule="auto"/>
        <w:outlineLvl w:val="2"/>
        <w:rPr>
          <w:rFonts w:ascii="Georgia" w:eastAsia="Times New Roman" w:hAnsi="Georgia" w:cs="Segoe UI"/>
          <w:kern w:val="0"/>
          <w:szCs w:val="22"/>
          <w14:ligatures w14:val="none"/>
        </w:rPr>
      </w:pPr>
      <w:r w:rsidRPr="009476FA">
        <w:rPr>
          <w:rFonts w:ascii="Georgia" w:eastAsia="Times New Roman" w:hAnsi="Georgia" w:cs="Segoe UI"/>
          <w:b/>
          <w:bCs/>
          <w:kern w:val="0"/>
          <w:szCs w:val="22"/>
          <w14:ligatures w14:val="none"/>
        </w:rPr>
        <w:t>Feed ingredients never remain constant</w:t>
      </w:r>
      <w:r w:rsidRPr="009476FA">
        <w:rPr>
          <w:rFonts w:ascii="Georgia" w:eastAsia="Times New Roman" w:hAnsi="Georgia" w:cs="Segoe UI"/>
          <w:b/>
          <w:bCs/>
          <w:kern w:val="0"/>
          <w:szCs w:val="22"/>
          <w14:ligatures w14:val="none"/>
        </w:rPr>
        <w:br/>
      </w:r>
      <w:r w:rsidRPr="009476FA">
        <w:rPr>
          <w:rFonts w:ascii="Georgia" w:eastAsia="Times New Roman" w:hAnsi="Georgia" w:cs="Segoe UI"/>
          <w:kern w:val="0"/>
          <w:szCs w:val="22"/>
          <w14:ligatures w14:val="none"/>
        </w:rPr>
        <w:t xml:space="preserve">Nutrition programs and formulas may remain unchanged, but ingredients do not. Cereal quality changes. Protein sources quality changes. Particle size changes. Oil quality changes. And nutrient digestibility changes. Not to mention the variability introduced during weighing, mixing, pelleting, and feed delivery from the moment a formula leaves the paper </w:t>
      </w:r>
      <w:r w:rsidRPr="009476FA">
        <w:rPr>
          <w:rFonts w:ascii="Georgia" w:eastAsia="Times New Roman" w:hAnsi="Georgia" w:cs="Segoe UI"/>
          <w:kern w:val="0"/>
          <w:szCs w:val="22"/>
          <w14:ligatures w14:val="none"/>
        </w:rPr>
        <w:lastRenderedPageBreak/>
        <w:t>until feed reaches the bird's pan.</w:t>
      </w:r>
      <w:r w:rsidR="00E129DE" w:rsidRPr="009476FA">
        <w:rPr>
          <w:rFonts w:ascii="Georgia" w:eastAsia="Times New Roman" w:hAnsi="Georgia" w:cs="Segoe UI"/>
          <w:kern w:val="0"/>
          <w:szCs w:val="22"/>
          <w14:ligatures w14:val="none"/>
        </w:rPr>
        <w:t xml:space="preserve"> </w:t>
      </w:r>
      <w:r w:rsidRPr="009476FA">
        <w:rPr>
          <w:rFonts w:ascii="Georgia" w:eastAsia="Times New Roman" w:hAnsi="Georgia" w:cs="Segoe UI"/>
          <w:kern w:val="0"/>
          <w:szCs w:val="22"/>
          <w14:ligatures w14:val="none"/>
        </w:rPr>
        <w:t>The bird experiences these differences even when the formulation software says the feed is identical.</w:t>
      </w:r>
    </w:p>
    <w:p w14:paraId="3B25F967" w14:textId="5E80AE32" w:rsidR="00E129DE" w:rsidRPr="009476FA" w:rsidRDefault="00E129DE" w:rsidP="00E129DE">
      <w:pPr>
        <w:spacing w:after="0" w:line="276" w:lineRule="auto"/>
        <w:outlineLvl w:val="2"/>
        <w:rPr>
          <w:rFonts w:ascii="Georgia" w:eastAsia="Times New Roman" w:hAnsi="Georgia" w:cs="Segoe UI"/>
          <w:b/>
          <w:bCs/>
          <w:kern w:val="0"/>
          <w:szCs w:val="22"/>
          <w14:ligatures w14:val="none"/>
        </w:rPr>
      </w:pPr>
    </w:p>
    <w:p w14:paraId="042AA660" w14:textId="0A640398" w:rsidR="00831B24" w:rsidRPr="009476FA" w:rsidRDefault="00831B24" w:rsidP="00E129DE">
      <w:pPr>
        <w:spacing w:after="0" w:line="276" w:lineRule="auto"/>
        <w:outlineLvl w:val="2"/>
        <w:rPr>
          <w:rFonts w:ascii="Georgia" w:eastAsia="Times New Roman" w:hAnsi="Georgia" w:cs="Segoe UI"/>
          <w:kern w:val="0"/>
          <w:szCs w:val="22"/>
          <w14:ligatures w14:val="none"/>
        </w:rPr>
      </w:pPr>
      <w:r w:rsidRPr="009476FA">
        <w:rPr>
          <w:rFonts w:ascii="Georgia" w:eastAsia="Times New Roman" w:hAnsi="Georgia" w:cs="Segoe UI"/>
          <w:b/>
          <w:bCs/>
          <w:kern w:val="0"/>
          <w:szCs w:val="22"/>
          <w14:ligatures w14:val="none"/>
        </w:rPr>
        <w:t>Health status constantly changes</w:t>
      </w:r>
      <w:r w:rsidRPr="009476FA">
        <w:rPr>
          <w:rFonts w:ascii="Georgia" w:eastAsia="Times New Roman" w:hAnsi="Georgia" w:cs="Segoe UI"/>
          <w:b/>
          <w:bCs/>
          <w:kern w:val="0"/>
          <w:szCs w:val="22"/>
          <w14:ligatures w14:val="none"/>
        </w:rPr>
        <w:br/>
      </w:r>
      <w:r w:rsidRPr="009476FA">
        <w:rPr>
          <w:rFonts w:ascii="Georgia" w:eastAsia="Times New Roman" w:hAnsi="Georgia" w:cs="Segoe UI"/>
          <w:kern w:val="0"/>
          <w:szCs w:val="22"/>
          <w14:ligatures w14:val="none"/>
        </w:rPr>
        <w:t xml:space="preserve">No two flocks face </w:t>
      </w:r>
      <w:proofErr w:type="gramStart"/>
      <w:r w:rsidRPr="009476FA">
        <w:rPr>
          <w:rFonts w:ascii="Georgia" w:eastAsia="Times New Roman" w:hAnsi="Georgia" w:cs="Segoe UI"/>
          <w:kern w:val="0"/>
          <w:szCs w:val="22"/>
          <w14:ligatures w14:val="none"/>
        </w:rPr>
        <w:t>exactly the same</w:t>
      </w:r>
      <w:proofErr w:type="gramEnd"/>
      <w:r w:rsidRPr="009476FA">
        <w:rPr>
          <w:rFonts w:ascii="Georgia" w:eastAsia="Times New Roman" w:hAnsi="Georgia" w:cs="Segoe UI"/>
          <w:kern w:val="0"/>
          <w:szCs w:val="22"/>
          <w14:ligatures w14:val="none"/>
        </w:rPr>
        <w:t xml:space="preserve"> microbial pressure. Vaccination responses differ. Pathogen challenges differ. Immune activation differs. And, of course, </w:t>
      </w:r>
      <w:proofErr w:type="gramStart"/>
      <w:r w:rsidRPr="009476FA">
        <w:rPr>
          <w:rFonts w:ascii="Georgia" w:eastAsia="Times New Roman" w:hAnsi="Georgia" w:cs="Segoe UI"/>
          <w:kern w:val="0"/>
          <w:szCs w:val="22"/>
          <w14:ligatures w14:val="none"/>
        </w:rPr>
        <w:t>all of</w:t>
      </w:r>
      <w:proofErr w:type="gramEnd"/>
      <w:r w:rsidRPr="009476FA">
        <w:rPr>
          <w:rFonts w:ascii="Georgia" w:eastAsia="Times New Roman" w:hAnsi="Georgia" w:cs="Segoe UI"/>
          <w:kern w:val="0"/>
          <w:szCs w:val="22"/>
          <w14:ligatures w14:val="none"/>
        </w:rPr>
        <w:t xml:space="preserve"> the </w:t>
      </w:r>
      <w:proofErr w:type="gramStart"/>
      <w:r w:rsidRPr="009476FA">
        <w:rPr>
          <w:rFonts w:ascii="Georgia" w:eastAsia="Times New Roman" w:hAnsi="Georgia" w:cs="Segoe UI"/>
          <w:kern w:val="0"/>
          <w:szCs w:val="22"/>
          <w14:ligatures w14:val="none"/>
        </w:rPr>
        <w:t>above mentioned</w:t>
      </w:r>
      <w:proofErr w:type="gramEnd"/>
      <w:r w:rsidRPr="009476FA">
        <w:rPr>
          <w:rFonts w:ascii="Georgia" w:eastAsia="Times New Roman" w:hAnsi="Georgia" w:cs="Segoe UI"/>
          <w:kern w:val="0"/>
          <w:szCs w:val="22"/>
          <w14:ligatures w14:val="none"/>
        </w:rPr>
        <w:t xml:space="preserve"> factors interact with the bird's response. Because probiotics interact directly with the intestinal ecosystem, differences in health status inevitably influence their response.</w:t>
      </w:r>
    </w:p>
    <w:p w14:paraId="6526DAAF" w14:textId="77777777" w:rsidR="00E129DE" w:rsidRPr="009476FA" w:rsidRDefault="00E129DE" w:rsidP="00E129DE">
      <w:pPr>
        <w:spacing w:after="0" w:line="276" w:lineRule="auto"/>
        <w:outlineLvl w:val="2"/>
        <w:rPr>
          <w:rFonts w:ascii="Georgia" w:eastAsia="Times New Roman" w:hAnsi="Georgia" w:cs="Segoe UI"/>
          <w:b/>
          <w:bCs/>
          <w:kern w:val="0"/>
          <w:szCs w:val="22"/>
          <w14:ligatures w14:val="none"/>
        </w:rPr>
      </w:pPr>
    </w:p>
    <w:p w14:paraId="1567E08F" w14:textId="28284A9A" w:rsidR="00831B24" w:rsidRPr="009476FA" w:rsidRDefault="00831B24" w:rsidP="00E129DE">
      <w:pPr>
        <w:spacing w:after="0" w:line="276" w:lineRule="auto"/>
        <w:outlineLvl w:val="2"/>
        <w:rPr>
          <w:rFonts w:ascii="Georgia" w:eastAsia="Times New Roman" w:hAnsi="Georgia" w:cs="Segoe UI"/>
          <w:b/>
          <w:bCs/>
          <w:kern w:val="0"/>
          <w:szCs w:val="22"/>
          <w14:ligatures w14:val="none"/>
        </w:rPr>
      </w:pPr>
      <w:r w:rsidRPr="009476FA">
        <w:rPr>
          <w:rFonts w:ascii="Georgia" w:eastAsia="Times New Roman" w:hAnsi="Georgia" w:cs="Segoe UI"/>
          <w:b/>
          <w:bCs/>
          <w:kern w:val="0"/>
          <w:szCs w:val="22"/>
          <w14:ligatures w14:val="none"/>
        </w:rPr>
        <w:t>Perhaps variability control is the correct metric</w:t>
      </w:r>
      <w:r w:rsidRPr="009476FA">
        <w:rPr>
          <w:rFonts w:ascii="Georgia" w:eastAsia="Times New Roman" w:hAnsi="Georgia" w:cs="Segoe UI"/>
          <w:b/>
          <w:bCs/>
          <w:kern w:val="0"/>
          <w:szCs w:val="22"/>
          <w14:ligatures w14:val="none"/>
        </w:rPr>
        <w:br/>
      </w:r>
      <w:r w:rsidRPr="009476FA">
        <w:rPr>
          <w:rFonts w:ascii="Georgia" w:eastAsia="Times New Roman" w:hAnsi="Georgia" w:cs="Segoe UI"/>
          <w:kern w:val="0"/>
          <w:szCs w:val="22"/>
          <w14:ligatures w14:val="none"/>
        </w:rPr>
        <w:t>Most probiotic evaluations focus on improvements in body weight or feed conversion within a single flock. But perhaps the greater value of probiotics lies elsewhere - and this remains to be proven.</w:t>
      </w:r>
    </w:p>
    <w:p w14:paraId="4D1E9402" w14:textId="77777777" w:rsidR="00831B24" w:rsidRDefault="00831B24" w:rsidP="00E129DE">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kern w:val="0"/>
          <w:szCs w:val="22"/>
          <w14:ligatures w14:val="none"/>
        </w:rPr>
        <w:t>Maybe the real question is whether probiotics help reduce variability between flocks, houses, seasons, and production cycles. In other words, perhaps their greatest value is not maximizing peak performance, but improving consistency across poultry systems.</w:t>
      </w:r>
    </w:p>
    <w:p w14:paraId="0167BF82" w14:textId="77777777" w:rsidR="005405B1" w:rsidRDefault="005405B1" w:rsidP="00E129DE">
      <w:pPr>
        <w:spacing w:after="0" w:line="276" w:lineRule="auto"/>
        <w:rPr>
          <w:rFonts w:ascii="Georgia" w:eastAsia="Times New Roman" w:hAnsi="Georgia" w:cs="Segoe UI"/>
          <w:kern w:val="0"/>
          <w:szCs w:val="22"/>
          <w14:ligatures w14:val="none"/>
        </w:rPr>
      </w:pPr>
    </w:p>
    <w:p w14:paraId="6F7DBF90" w14:textId="77777777" w:rsidR="005405B1" w:rsidRDefault="005405B1" w:rsidP="00E129DE">
      <w:pPr>
        <w:spacing w:after="0" w:line="276" w:lineRule="auto"/>
        <w:rPr>
          <w:rFonts w:ascii="Georgia" w:eastAsia="Times New Roman" w:hAnsi="Georgia" w:cs="Segoe UI"/>
          <w:kern w:val="0"/>
          <w:szCs w:val="22"/>
          <w14:ligatures w14:val="none"/>
        </w:rPr>
      </w:pPr>
    </w:p>
    <w:p w14:paraId="76A1C477" w14:textId="77777777" w:rsidR="005405B1" w:rsidRDefault="005405B1" w:rsidP="00E129DE">
      <w:pPr>
        <w:spacing w:after="0" w:line="276" w:lineRule="auto"/>
        <w:rPr>
          <w:rFonts w:ascii="Georgia" w:eastAsia="Times New Roman" w:hAnsi="Georgia" w:cs="Segoe UI"/>
          <w:kern w:val="0"/>
          <w:szCs w:val="22"/>
          <w14:ligatures w14:val="none"/>
        </w:rPr>
      </w:pPr>
    </w:p>
    <w:p w14:paraId="5410C240" w14:textId="77777777" w:rsidR="005405B1" w:rsidRDefault="005405B1" w:rsidP="00E129DE">
      <w:pPr>
        <w:spacing w:after="0" w:line="276" w:lineRule="auto"/>
        <w:rPr>
          <w:rFonts w:ascii="Georgia" w:eastAsia="Times New Roman" w:hAnsi="Georgia" w:cs="Segoe UI"/>
          <w:kern w:val="0"/>
          <w:szCs w:val="22"/>
          <w14:ligatures w14:val="none"/>
        </w:rPr>
      </w:pPr>
    </w:p>
    <w:p w14:paraId="66D83215" w14:textId="77777777" w:rsidR="005405B1" w:rsidRDefault="005405B1" w:rsidP="00E129DE">
      <w:pPr>
        <w:spacing w:after="0" w:line="276" w:lineRule="auto"/>
        <w:rPr>
          <w:rFonts w:ascii="Georgia" w:eastAsia="Times New Roman" w:hAnsi="Georgia" w:cs="Segoe UI"/>
          <w:kern w:val="0"/>
          <w:szCs w:val="22"/>
          <w14:ligatures w14:val="none"/>
        </w:rPr>
      </w:pPr>
    </w:p>
    <w:p w14:paraId="7FB5D59C" w14:textId="77777777" w:rsidR="005405B1" w:rsidRDefault="005405B1" w:rsidP="00E129DE">
      <w:pPr>
        <w:spacing w:after="0" w:line="276" w:lineRule="auto"/>
        <w:rPr>
          <w:rFonts w:ascii="Georgia" w:eastAsia="Times New Roman" w:hAnsi="Georgia" w:cs="Segoe UI"/>
          <w:kern w:val="0"/>
          <w:szCs w:val="22"/>
          <w14:ligatures w14:val="none"/>
        </w:rPr>
      </w:pPr>
    </w:p>
    <w:p w14:paraId="4A68BA0B" w14:textId="77777777" w:rsidR="005405B1" w:rsidRDefault="005405B1" w:rsidP="00E129DE">
      <w:pPr>
        <w:spacing w:after="0" w:line="276" w:lineRule="auto"/>
        <w:rPr>
          <w:rFonts w:ascii="Georgia" w:eastAsia="Times New Roman" w:hAnsi="Georgia" w:cs="Segoe UI"/>
          <w:kern w:val="0"/>
          <w:szCs w:val="22"/>
          <w14:ligatures w14:val="none"/>
        </w:rPr>
      </w:pPr>
    </w:p>
    <w:p w14:paraId="176FEC18" w14:textId="77777777" w:rsidR="005405B1" w:rsidRDefault="005405B1" w:rsidP="00E129DE">
      <w:pPr>
        <w:spacing w:after="0" w:line="276" w:lineRule="auto"/>
        <w:rPr>
          <w:rFonts w:ascii="Georgia" w:eastAsia="Times New Roman" w:hAnsi="Georgia" w:cs="Segoe UI"/>
          <w:kern w:val="0"/>
          <w:szCs w:val="22"/>
          <w14:ligatures w14:val="none"/>
        </w:rPr>
      </w:pPr>
    </w:p>
    <w:p w14:paraId="7741B962" w14:textId="77777777" w:rsidR="005405B1" w:rsidRDefault="005405B1" w:rsidP="00E129DE">
      <w:pPr>
        <w:spacing w:after="0" w:line="276" w:lineRule="auto"/>
        <w:rPr>
          <w:rFonts w:ascii="Georgia" w:eastAsia="Times New Roman" w:hAnsi="Georgia" w:cs="Segoe UI"/>
          <w:kern w:val="0"/>
          <w:szCs w:val="22"/>
          <w14:ligatures w14:val="none"/>
        </w:rPr>
      </w:pPr>
    </w:p>
    <w:p w14:paraId="40FBB238" w14:textId="77777777" w:rsidR="005405B1" w:rsidRDefault="005405B1" w:rsidP="00E129DE">
      <w:pPr>
        <w:spacing w:after="0" w:line="276" w:lineRule="auto"/>
        <w:rPr>
          <w:rFonts w:ascii="Georgia" w:eastAsia="Times New Roman" w:hAnsi="Georgia" w:cs="Segoe UI"/>
          <w:kern w:val="0"/>
          <w:szCs w:val="22"/>
          <w14:ligatures w14:val="none"/>
        </w:rPr>
      </w:pPr>
    </w:p>
    <w:p w14:paraId="3E8C8A4F" w14:textId="77777777" w:rsidR="005405B1" w:rsidRDefault="005405B1" w:rsidP="00E129DE">
      <w:pPr>
        <w:spacing w:after="0" w:line="276" w:lineRule="auto"/>
        <w:rPr>
          <w:rFonts w:ascii="Georgia" w:eastAsia="Times New Roman" w:hAnsi="Georgia" w:cs="Segoe UI"/>
          <w:kern w:val="0"/>
          <w:szCs w:val="22"/>
          <w14:ligatures w14:val="none"/>
        </w:rPr>
      </w:pPr>
    </w:p>
    <w:p w14:paraId="6F3203CC" w14:textId="77777777" w:rsidR="005405B1" w:rsidRPr="009476FA" w:rsidRDefault="005405B1" w:rsidP="00E129DE">
      <w:pPr>
        <w:spacing w:after="0" w:line="276" w:lineRule="auto"/>
        <w:rPr>
          <w:rFonts w:ascii="Georgia" w:eastAsia="Times New Roman" w:hAnsi="Georgia" w:cs="Segoe UI"/>
          <w:kern w:val="0"/>
          <w:szCs w:val="22"/>
          <w14:ligatures w14:val="none"/>
        </w:rPr>
      </w:pPr>
    </w:p>
    <w:p w14:paraId="0A00523B" w14:textId="77777777" w:rsidR="00E129DE" w:rsidRPr="009476FA" w:rsidRDefault="00E129DE" w:rsidP="00E129DE">
      <w:pPr>
        <w:spacing w:after="0" w:line="276" w:lineRule="auto"/>
        <w:rPr>
          <w:rFonts w:ascii="Georgia" w:eastAsia="Times New Roman" w:hAnsi="Georgia" w:cs="Segoe UI"/>
          <w:kern w:val="0"/>
          <w:szCs w:val="22"/>
          <w14:ligatures w14:val="none"/>
        </w:rPr>
      </w:pPr>
    </w:p>
    <w:p w14:paraId="5137A460" w14:textId="77777777" w:rsidR="005405B1" w:rsidRDefault="005405B1" w:rsidP="00E129DE">
      <w:pPr>
        <w:spacing w:after="0" w:line="276" w:lineRule="auto"/>
        <w:rPr>
          <w:rFonts w:ascii="Georgia" w:eastAsia="Times New Roman" w:hAnsi="Georgia" w:cs="Segoe UI"/>
          <w:b/>
          <w:bCs/>
          <w:kern w:val="0"/>
          <w:szCs w:val="22"/>
          <w14:ligatures w14:val="none"/>
        </w:rPr>
      </w:pPr>
    </w:p>
    <w:p w14:paraId="35B87722" w14:textId="77777777" w:rsidR="005405B1" w:rsidRDefault="005405B1" w:rsidP="00E129DE">
      <w:pPr>
        <w:spacing w:after="0" w:line="276" w:lineRule="auto"/>
        <w:rPr>
          <w:rFonts w:ascii="Georgia" w:eastAsia="Times New Roman" w:hAnsi="Georgia" w:cs="Segoe UI"/>
          <w:b/>
          <w:bCs/>
          <w:kern w:val="0"/>
          <w:szCs w:val="22"/>
          <w14:ligatures w14:val="none"/>
        </w:rPr>
      </w:pPr>
    </w:p>
    <w:p w14:paraId="40720B44" w14:textId="77777777" w:rsidR="005405B1" w:rsidRDefault="005405B1" w:rsidP="00E129DE">
      <w:pPr>
        <w:spacing w:after="0" w:line="276" w:lineRule="auto"/>
        <w:rPr>
          <w:rFonts w:ascii="Georgia" w:eastAsia="Times New Roman" w:hAnsi="Georgia" w:cs="Segoe UI"/>
          <w:b/>
          <w:bCs/>
          <w:kern w:val="0"/>
          <w:szCs w:val="22"/>
          <w14:ligatures w14:val="none"/>
        </w:rPr>
      </w:pPr>
    </w:p>
    <w:p w14:paraId="6055233B" w14:textId="77777777" w:rsidR="005405B1" w:rsidRDefault="005405B1" w:rsidP="00E129DE">
      <w:pPr>
        <w:spacing w:after="0" w:line="276" w:lineRule="auto"/>
        <w:rPr>
          <w:rFonts w:ascii="Georgia" w:eastAsia="Times New Roman" w:hAnsi="Georgia" w:cs="Segoe UI"/>
          <w:b/>
          <w:bCs/>
          <w:kern w:val="0"/>
          <w:szCs w:val="22"/>
          <w14:ligatures w14:val="none"/>
        </w:rPr>
      </w:pPr>
    </w:p>
    <w:p w14:paraId="48C52ADF" w14:textId="77777777" w:rsidR="005405B1" w:rsidRDefault="005405B1" w:rsidP="00E129DE">
      <w:pPr>
        <w:spacing w:after="0" w:line="276" w:lineRule="auto"/>
        <w:rPr>
          <w:rFonts w:ascii="Georgia" w:eastAsia="Times New Roman" w:hAnsi="Georgia" w:cs="Segoe UI"/>
          <w:b/>
          <w:bCs/>
          <w:kern w:val="0"/>
          <w:szCs w:val="22"/>
          <w14:ligatures w14:val="none"/>
        </w:rPr>
      </w:pPr>
    </w:p>
    <w:p w14:paraId="6DDF3956" w14:textId="3D3581E6" w:rsidR="00831B24" w:rsidRDefault="00831B24" w:rsidP="00E129DE">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b/>
          <w:bCs/>
          <w:kern w:val="0"/>
          <w:szCs w:val="22"/>
          <w14:ligatures w14:val="none"/>
        </w:rPr>
        <w:t>In summary</w:t>
      </w:r>
      <w:r w:rsidRPr="009476FA">
        <w:rPr>
          <w:rFonts w:ascii="Georgia" w:eastAsia="Times New Roman" w:hAnsi="Georgia" w:cs="Segoe UI"/>
          <w:b/>
          <w:bCs/>
          <w:kern w:val="0"/>
          <w:szCs w:val="22"/>
          <w14:ligatures w14:val="none"/>
        </w:rPr>
        <w:br/>
      </w:r>
      <w:r w:rsidRPr="009476FA">
        <w:rPr>
          <w:rFonts w:ascii="Georgia" w:eastAsia="Times New Roman" w:hAnsi="Georgia" w:cs="Segoe UI"/>
          <w:kern w:val="0"/>
          <w:szCs w:val="22"/>
          <w14:ligatures w14:val="none"/>
        </w:rPr>
        <w:t>Large poultry systems are already highly optimized. In such systems, expecting dramatic improvements from any single additive may be unrealistic.</w:t>
      </w:r>
    </w:p>
    <w:p w14:paraId="66AA2F8A" w14:textId="77777777" w:rsidR="005405B1" w:rsidRPr="009476FA" w:rsidRDefault="005405B1" w:rsidP="00E129DE">
      <w:pPr>
        <w:spacing w:after="0" w:line="276" w:lineRule="auto"/>
        <w:rPr>
          <w:rFonts w:ascii="Georgia" w:eastAsia="Times New Roman" w:hAnsi="Georgia" w:cs="Segoe UI"/>
          <w:b/>
          <w:bCs/>
          <w:kern w:val="0"/>
          <w:szCs w:val="22"/>
          <w14:ligatures w14:val="none"/>
        </w:rPr>
      </w:pPr>
    </w:p>
    <w:p w14:paraId="3C4BD36B" w14:textId="77777777" w:rsidR="00B46111" w:rsidRDefault="00831B24" w:rsidP="00B46111">
      <w:pPr>
        <w:spacing w:after="0" w:line="276" w:lineRule="auto"/>
        <w:rPr>
          <w:rFonts w:ascii="Georgia" w:eastAsia="Times New Roman" w:hAnsi="Georgia" w:cs="Segoe UI"/>
          <w:kern w:val="0"/>
          <w:szCs w:val="22"/>
          <w14:ligatures w14:val="none"/>
        </w:rPr>
      </w:pPr>
      <w:r w:rsidRPr="009476FA">
        <w:rPr>
          <w:rFonts w:ascii="Georgia" w:eastAsia="Times New Roman" w:hAnsi="Georgia" w:cs="Segoe UI"/>
          <w:kern w:val="0"/>
          <w:szCs w:val="22"/>
          <w14:ligatures w14:val="none"/>
        </w:rPr>
        <w:t>But reducing variation across multiple flocks over an entire year can create substantial economic value. Perhaps, probiotics should be evaluated not by how much they improve the best flock, but by how much they protect the average flock.</w:t>
      </w:r>
    </w:p>
    <w:p w14:paraId="7ACA3C15" w14:textId="77777777" w:rsidR="00B46111" w:rsidRDefault="00B46111" w:rsidP="00B46111">
      <w:pPr>
        <w:spacing w:after="0" w:line="276" w:lineRule="auto"/>
        <w:rPr>
          <w:rFonts w:ascii="Georgia" w:eastAsia="Times New Roman" w:hAnsi="Georgia" w:cs="Segoe UI"/>
          <w:kern w:val="0"/>
          <w:szCs w:val="22"/>
          <w14:ligatures w14:val="none"/>
        </w:rPr>
      </w:pPr>
    </w:p>
    <w:p w14:paraId="255C97DE" w14:textId="77777777" w:rsidR="005405B1" w:rsidRDefault="005405B1" w:rsidP="00B46111">
      <w:pPr>
        <w:spacing w:after="0" w:line="276" w:lineRule="auto"/>
        <w:rPr>
          <w:rFonts w:ascii="Georgia" w:eastAsia="Times New Roman" w:hAnsi="Georgia" w:cs="Segoe UI"/>
          <w:kern w:val="0"/>
          <w:szCs w:val="22"/>
          <w14:ligatures w14:val="none"/>
        </w:rPr>
      </w:pPr>
    </w:p>
    <w:p w14:paraId="19A58567" w14:textId="77777777" w:rsidR="005405B1" w:rsidRDefault="005405B1" w:rsidP="00B46111">
      <w:pPr>
        <w:spacing w:after="0" w:line="276" w:lineRule="auto"/>
        <w:rPr>
          <w:rFonts w:ascii="Georgia" w:eastAsia="Times New Roman" w:hAnsi="Georgia" w:cs="Segoe UI"/>
          <w:kern w:val="0"/>
          <w:szCs w:val="22"/>
          <w14:ligatures w14:val="none"/>
        </w:rPr>
      </w:pPr>
    </w:p>
    <w:p w14:paraId="35B3462C" w14:textId="77777777" w:rsidR="005405B1" w:rsidRDefault="005405B1" w:rsidP="00B46111">
      <w:pPr>
        <w:spacing w:after="0" w:line="276" w:lineRule="auto"/>
        <w:rPr>
          <w:rFonts w:ascii="Georgia" w:eastAsia="Times New Roman" w:hAnsi="Georgia" w:cs="Segoe UI"/>
          <w:kern w:val="0"/>
          <w:szCs w:val="22"/>
          <w14:ligatures w14:val="none"/>
        </w:rPr>
      </w:pPr>
    </w:p>
    <w:p w14:paraId="3039C89D" w14:textId="77777777" w:rsidR="005405B1" w:rsidRDefault="005405B1" w:rsidP="00B46111">
      <w:pPr>
        <w:spacing w:after="0" w:line="276" w:lineRule="auto"/>
        <w:rPr>
          <w:rFonts w:ascii="Georgia" w:eastAsia="Times New Roman" w:hAnsi="Georgia" w:cs="Segoe UI"/>
          <w:kern w:val="0"/>
          <w:szCs w:val="22"/>
          <w14:ligatures w14:val="none"/>
        </w:rPr>
      </w:pPr>
    </w:p>
    <w:p w14:paraId="0BA83942" w14:textId="77777777" w:rsidR="00224ABF" w:rsidRDefault="00224ABF" w:rsidP="00B46111">
      <w:pPr>
        <w:spacing w:after="0" w:line="276" w:lineRule="auto"/>
        <w:rPr>
          <w:rFonts w:ascii="Georgia" w:eastAsia="Times New Roman" w:hAnsi="Georgia" w:cs="Segoe UI"/>
          <w:kern w:val="0"/>
          <w:szCs w:val="22"/>
          <w14:ligatures w14:val="none"/>
        </w:rPr>
      </w:pPr>
    </w:p>
    <w:p w14:paraId="2BD2DC3B" w14:textId="77777777" w:rsidR="00224ABF" w:rsidRDefault="00224ABF" w:rsidP="00B46111">
      <w:pPr>
        <w:spacing w:after="0" w:line="276" w:lineRule="auto"/>
        <w:rPr>
          <w:rFonts w:ascii="Georgia" w:eastAsia="Times New Roman" w:hAnsi="Georgia" w:cs="Segoe UI"/>
          <w:kern w:val="0"/>
          <w:szCs w:val="22"/>
          <w14:ligatures w14:val="none"/>
        </w:rPr>
      </w:pPr>
    </w:p>
    <w:p w14:paraId="5F344666" w14:textId="77777777" w:rsidR="00224ABF" w:rsidRDefault="00224ABF" w:rsidP="00B46111">
      <w:pPr>
        <w:spacing w:after="0" w:line="276" w:lineRule="auto"/>
        <w:rPr>
          <w:rFonts w:ascii="Georgia" w:eastAsia="Times New Roman" w:hAnsi="Georgia" w:cs="Segoe UI"/>
          <w:kern w:val="0"/>
          <w:szCs w:val="22"/>
          <w14:ligatures w14:val="none"/>
        </w:rPr>
      </w:pPr>
    </w:p>
    <w:p w14:paraId="35BBD561" w14:textId="77777777" w:rsidR="00224ABF" w:rsidRDefault="00224ABF" w:rsidP="00B46111">
      <w:pPr>
        <w:spacing w:after="0" w:line="276" w:lineRule="auto"/>
        <w:rPr>
          <w:rFonts w:ascii="Georgia" w:eastAsia="Times New Roman" w:hAnsi="Georgia" w:cs="Segoe UI"/>
          <w:kern w:val="0"/>
          <w:szCs w:val="22"/>
          <w14:ligatures w14:val="none"/>
        </w:rPr>
      </w:pPr>
    </w:p>
    <w:p w14:paraId="498A664E" w14:textId="77777777" w:rsidR="00224ABF" w:rsidRDefault="00224ABF" w:rsidP="00B46111">
      <w:pPr>
        <w:spacing w:after="0" w:line="276" w:lineRule="auto"/>
        <w:rPr>
          <w:rFonts w:ascii="Georgia" w:eastAsia="Times New Roman" w:hAnsi="Georgia" w:cs="Segoe UI"/>
          <w:kern w:val="0"/>
          <w:szCs w:val="22"/>
          <w14:ligatures w14:val="none"/>
        </w:rPr>
      </w:pPr>
    </w:p>
    <w:p w14:paraId="1ABCF2AF" w14:textId="77777777" w:rsidR="00224ABF" w:rsidRDefault="00224ABF" w:rsidP="00B46111">
      <w:pPr>
        <w:spacing w:after="0" w:line="276" w:lineRule="auto"/>
        <w:rPr>
          <w:rFonts w:ascii="Georgia" w:eastAsia="Times New Roman" w:hAnsi="Georgia" w:cs="Segoe UI"/>
          <w:kern w:val="0"/>
          <w:szCs w:val="22"/>
          <w14:ligatures w14:val="none"/>
        </w:rPr>
      </w:pPr>
    </w:p>
    <w:p w14:paraId="65B16F2A" w14:textId="77777777" w:rsidR="00224ABF" w:rsidRDefault="00224ABF" w:rsidP="00B46111">
      <w:pPr>
        <w:spacing w:after="0" w:line="276" w:lineRule="auto"/>
        <w:rPr>
          <w:rFonts w:ascii="Georgia" w:eastAsia="Times New Roman" w:hAnsi="Georgia" w:cs="Segoe UI"/>
          <w:kern w:val="0"/>
          <w:szCs w:val="22"/>
          <w14:ligatures w14:val="none"/>
        </w:rPr>
      </w:pPr>
    </w:p>
    <w:p w14:paraId="6121F4D2" w14:textId="77777777" w:rsidR="00224ABF" w:rsidRDefault="00224ABF" w:rsidP="00B46111">
      <w:pPr>
        <w:spacing w:after="0" w:line="276" w:lineRule="auto"/>
        <w:rPr>
          <w:rFonts w:ascii="Georgia" w:eastAsia="Times New Roman" w:hAnsi="Georgia" w:cs="Segoe UI"/>
          <w:kern w:val="0"/>
          <w:szCs w:val="22"/>
          <w14:ligatures w14:val="none"/>
        </w:rPr>
      </w:pPr>
    </w:p>
    <w:p w14:paraId="16EE41A0" w14:textId="77777777" w:rsidR="005405B1" w:rsidRDefault="005405B1" w:rsidP="00B46111">
      <w:pPr>
        <w:spacing w:after="0" w:line="276" w:lineRule="auto"/>
        <w:rPr>
          <w:rFonts w:ascii="Georgia" w:eastAsia="Times New Roman" w:hAnsi="Georgia" w:cs="Segoe UI"/>
          <w:kern w:val="0"/>
          <w:szCs w:val="22"/>
          <w14:ligatures w14:val="none"/>
        </w:rPr>
      </w:pPr>
    </w:p>
    <w:p w14:paraId="4A91A69B" w14:textId="6C3AE2B5" w:rsidR="00B46111" w:rsidRPr="00224ABF" w:rsidRDefault="00B46111" w:rsidP="00B46111">
      <w:pPr>
        <w:spacing w:after="0" w:line="276" w:lineRule="auto"/>
        <w:rPr>
          <w:rFonts w:ascii="Georgia" w:eastAsia="Times New Roman" w:hAnsi="Georgia" w:cs="Segoe UI"/>
          <w:b/>
          <w:bCs/>
          <w:kern w:val="0"/>
          <w:sz w:val="18"/>
          <w:szCs w:val="18"/>
          <w14:ligatures w14:val="none"/>
        </w:rPr>
      </w:pPr>
      <w:r w:rsidRPr="00224ABF">
        <w:rPr>
          <w:rFonts w:ascii="Georgia" w:eastAsia="Times New Roman" w:hAnsi="Georgia" w:cs="Segoe UI"/>
          <w:b/>
          <w:bCs/>
          <w:kern w:val="0"/>
          <w:sz w:val="18"/>
          <w:szCs w:val="18"/>
          <w14:ligatures w14:val="none"/>
        </w:rPr>
        <w:t>POULTRY EDITION | 13 July 2026</w:t>
      </w:r>
    </w:p>
    <w:p w14:paraId="4C243E6A" w14:textId="77777777" w:rsidR="003452B6" w:rsidRPr="00224ABF" w:rsidRDefault="003452B6" w:rsidP="00B46111">
      <w:pPr>
        <w:spacing w:after="0" w:line="276" w:lineRule="auto"/>
        <w:rPr>
          <w:rFonts w:ascii="Georgia" w:eastAsia="Times New Roman" w:hAnsi="Georgia" w:cs="Segoe UI"/>
          <w:kern w:val="0"/>
          <w:sz w:val="18"/>
          <w:szCs w:val="18"/>
          <w14:ligatures w14:val="none"/>
        </w:rPr>
      </w:pPr>
    </w:p>
    <w:p w14:paraId="69840754" w14:textId="77777777" w:rsidR="005405B1" w:rsidRPr="00224ABF" w:rsidRDefault="00B46111" w:rsidP="005405B1">
      <w:pPr>
        <w:spacing w:after="0" w:line="276" w:lineRule="auto"/>
        <w:rPr>
          <w:rFonts w:ascii="Georgia" w:eastAsia="Times New Roman" w:hAnsi="Georgia" w:cs="Segoe UI"/>
          <w:kern w:val="0"/>
          <w:sz w:val="18"/>
          <w:szCs w:val="18"/>
          <w14:ligatures w14:val="none"/>
        </w:rPr>
      </w:pPr>
      <w:r w:rsidRPr="00224ABF">
        <w:rPr>
          <w:rFonts w:ascii="Georgia" w:eastAsia="Times New Roman" w:hAnsi="Georgia" w:cs="Segoe UI"/>
          <w:kern w:val="0"/>
          <w:sz w:val="18"/>
          <w:szCs w:val="18"/>
          <w14:ligatures w14:val="none"/>
        </w:rPr>
        <w:t>Originally distributed through the Feeds &amp; Feeding newsletter at LinkedIn. Archived permanently by Animal Nutrition Academy</w:t>
      </w:r>
      <w:r w:rsidR="005405B1" w:rsidRPr="00224ABF">
        <w:rPr>
          <w:rFonts w:ascii="Georgia" w:eastAsia="Times New Roman" w:hAnsi="Georgia" w:cs="Segoe UI"/>
          <w:kern w:val="0"/>
          <w:sz w:val="18"/>
          <w:szCs w:val="18"/>
          <w14:ligatures w14:val="none"/>
        </w:rPr>
        <w:t xml:space="preserve"> at www.animalnutritionacademy.com</w:t>
      </w:r>
    </w:p>
    <w:p w14:paraId="1BF34DB7" w14:textId="091A1AE7" w:rsidR="003452B6" w:rsidRPr="00224ABF" w:rsidRDefault="003452B6" w:rsidP="003452B6">
      <w:pPr>
        <w:spacing w:after="0" w:line="276" w:lineRule="auto"/>
        <w:rPr>
          <w:rFonts w:ascii="Georgia" w:eastAsia="Times New Roman" w:hAnsi="Georgia" w:cs="Segoe UI"/>
          <w:kern w:val="0"/>
          <w:sz w:val="18"/>
          <w:szCs w:val="18"/>
          <w14:ligatures w14:val="none"/>
        </w:rPr>
      </w:pPr>
    </w:p>
    <w:p w14:paraId="72A9C7E0" w14:textId="5FF929F7" w:rsidR="00FE5229" w:rsidRPr="00224ABF" w:rsidRDefault="009476FA" w:rsidP="00FE5229">
      <w:pPr>
        <w:rPr>
          <w:rFonts w:ascii="Georgia" w:eastAsia="Times New Roman" w:hAnsi="Georgia" w:cs="Segoe UI"/>
          <w:kern w:val="0"/>
          <w:sz w:val="18"/>
          <w:szCs w:val="18"/>
          <w14:ligatures w14:val="none"/>
        </w:rPr>
      </w:pPr>
      <w:r w:rsidRPr="00224ABF">
        <w:rPr>
          <w:rFonts w:ascii="Georgia" w:eastAsia="Times New Roman" w:hAnsi="Georgia" w:cs="Segoe UI"/>
          <w:kern w:val="0"/>
          <w:sz w:val="18"/>
          <w:szCs w:val="18"/>
          <w14:ligatures w14:val="none"/>
        </w:rPr>
        <w:t>--------------------------------------------------------</w:t>
      </w:r>
    </w:p>
    <w:p w14:paraId="43F3553D" w14:textId="2F84FC4D" w:rsidR="00224ABF" w:rsidRPr="00224ABF" w:rsidRDefault="00224ABF" w:rsidP="00224ABF">
      <w:pPr>
        <w:rPr>
          <w:rFonts w:ascii="Georgia" w:eastAsia="Times New Roman" w:hAnsi="Georgia" w:cs="Segoe UI"/>
          <w:kern w:val="0"/>
          <w:sz w:val="18"/>
          <w:szCs w:val="18"/>
          <w14:ligatures w14:val="none"/>
        </w:rPr>
      </w:pPr>
      <w:r w:rsidRPr="00224ABF">
        <w:rPr>
          <w:rFonts w:ascii="Georgia" w:eastAsia="Times New Roman" w:hAnsi="Georgia" w:cs="Segoe UI"/>
          <w:b/>
          <w:bCs/>
          <w:kern w:val="0"/>
          <w:sz w:val="18"/>
          <w:szCs w:val="18"/>
          <w14:ligatures w14:val="none"/>
        </w:rPr>
        <w:t>DISCLAIMER</w:t>
      </w:r>
      <w:r>
        <w:rPr>
          <w:rFonts w:ascii="Georgia" w:eastAsia="Times New Roman" w:hAnsi="Georgia" w:cs="Segoe UI"/>
          <w:b/>
          <w:bCs/>
          <w:kern w:val="0"/>
          <w:sz w:val="18"/>
          <w:szCs w:val="18"/>
          <w14:ligatures w14:val="none"/>
        </w:rPr>
        <w:br/>
      </w:r>
      <w:r w:rsidRPr="00224ABF">
        <w:rPr>
          <w:rFonts w:ascii="Georgia" w:eastAsia="Times New Roman" w:hAnsi="Georgia" w:cs="Segoe UI"/>
          <w:i/>
          <w:iCs/>
          <w:kern w:val="0"/>
          <w:sz w:val="18"/>
          <w:szCs w:val="18"/>
          <w14:ligatures w14:val="none"/>
        </w:rPr>
        <w:t>Feeds &amp; Feeding</w:t>
      </w:r>
      <w:r w:rsidRPr="00224ABF">
        <w:rPr>
          <w:rFonts w:ascii="Georgia" w:eastAsia="Times New Roman" w:hAnsi="Georgia" w:cs="Segoe UI"/>
          <w:kern w:val="0"/>
          <w:sz w:val="18"/>
          <w:szCs w:val="18"/>
          <w14:ligatures w14:val="none"/>
        </w:rPr>
        <w:t> is published twice weekly by the Animal Nutrition Academy. The material presented is intended for scholarly, educational, and professional reference. While every effort is made to ensure accuracy, neither the author nor the Animal Nutrition Academy assumes responsibility for the application of this information in specific production systems.</w:t>
      </w:r>
    </w:p>
    <w:p w14:paraId="6477EFCB" w14:textId="5F3BB0B6" w:rsidR="00224ABF" w:rsidRPr="00D910CE" w:rsidRDefault="00224ABF" w:rsidP="00224ABF">
      <w:pPr>
        <w:rPr>
          <w:rFonts w:ascii="Georgia" w:eastAsia="Times New Roman" w:hAnsi="Georgia" w:cs="Segoe UI"/>
          <w:b/>
          <w:bCs/>
          <w:kern w:val="0"/>
          <w:sz w:val="18"/>
          <w:szCs w:val="18"/>
          <w14:ligatures w14:val="none"/>
        </w:rPr>
      </w:pPr>
      <w:r w:rsidRPr="00224ABF">
        <w:rPr>
          <w:rFonts w:ascii="Georgia" w:eastAsia="Times New Roman" w:hAnsi="Georgia" w:cs="Segoe UI"/>
          <w:b/>
          <w:bCs/>
          <w:kern w:val="0"/>
          <w:sz w:val="18"/>
          <w:szCs w:val="18"/>
          <w14:ligatures w14:val="none"/>
        </w:rPr>
        <w:t>COPYRIGHT NOTICE</w:t>
      </w:r>
      <w:r w:rsidR="00D910CE">
        <w:rPr>
          <w:rFonts w:ascii="Georgia" w:eastAsia="Times New Roman" w:hAnsi="Georgia" w:cs="Segoe UI"/>
          <w:b/>
          <w:bCs/>
          <w:kern w:val="0"/>
          <w:sz w:val="18"/>
          <w:szCs w:val="18"/>
          <w14:ligatures w14:val="none"/>
        </w:rPr>
        <w:br/>
      </w:r>
      <w:r w:rsidR="00D910CE" w:rsidRPr="00224ABF">
        <w:rPr>
          <w:rFonts w:ascii="Georgia" w:eastAsia="Times New Roman" w:hAnsi="Georgia" w:cs="Segoe UI"/>
          <w:kern w:val="0"/>
          <w:sz w:val="18"/>
          <w:szCs w:val="18"/>
          <w14:ligatures w14:val="none"/>
        </w:rPr>
        <w:t>© Animal Nutrition Academy. All rights reserved.</w:t>
      </w:r>
      <w:r w:rsidR="00D910CE">
        <w:rPr>
          <w:rFonts w:ascii="Georgia" w:eastAsia="Times New Roman" w:hAnsi="Georgia" w:cs="Segoe UI"/>
          <w:b/>
          <w:bCs/>
          <w:kern w:val="0"/>
          <w:sz w:val="18"/>
          <w:szCs w:val="18"/>
          <w14:ligatures w14:val="none"/>
        </w:rPr>
        <w:br/>
      </w:r>
      <w:r>
        <w:rPr>
          <w:rFonts w:ascii="Georgia" w:eastAsia="Times New Roman" w:hAnsi="Georgia" w:cs="Segoe UI"/>
          <w:b/>
          <w:bCs/>
          <w:kern w:val="0"/>
          <w:sz w:val="18"/>
          <w:szCs w:val="18"/>
          <w14:ligatures w14:val="none"/>
        </w:rPr>
        <w:br/>
      </w:r>
      <w:r w:rsidRPr="00224ABF">
        <w:rPr>
          <w:rFonts w:ascii="Georgia" w:eastAsia="Times New Roman" w:hAnsi="Georgia" w:cs="Segoe UI"/>
          <w:kern w:val="0"/>
          <w:sz w:val="18"/>
          <w:szCs w:val="18"/>
          <w14:ligatures w14:val="none"/>
        </w:rPr>
        <w:t>No part of this publication may be reproduced, stored, or transmitted in any form without prior written permission. Limited quotation for scholarly, educational, and professional reference is permitted with proper attribution.</w:t>
      </w:r>
    </w:p>
    <w:p w14:paraId="4E946858" w14:textId="14E89886" w:rsidR="00B46111" w:rsidRPr="00224ABF" w:rsidRDefault="00B46111" w:rsidP="00224ABF">
      <w:pPr>
        <w:rPr>
          <w:rFonts w:ascii="Georgia" w:eastAsia="Times New Roman" w:hAnsi="Georgia" w:cs="Segoe UI"/>
          <w:kern w:val="0"/>
          <w:sz w:val="18"/>
          <w:szCs w:val="18"/>
          <w14:ligatures w14:val="none"/>
        </w:rPr>
      </w:pPr>
    </w:p>
    <w:sectPr w:rsidR="00B46111" w:rsidRPr="00224ABF" w:rsidSect="00E129DE">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BC20" w14:textId="77777777" w:rsidR="00E7652B" w:rsidRDefault="00E7652B" w:rsidP="00E129DE">
      <w:pPr>
        <w:spacing w:after="0" w:line="240" w:lineRule="auto"/>
      </w:pPr>
      <w:r>
        <w:separator/>
      </w:r>
    </w:p>
  </w:endnote>
  <w:endnote w:type="continuationSeparator" w:id="0">
    <w:p w14:paraId="0F6BC0E5" w14:textId="77777777" w:rsidR="00E7652B" w:rsidRDefault="00E7652B" w:rsidP="00E1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ight">
    <w:panose1 w:val="020B0402020203020204"/>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186095"/>
      <w:docPartObj>
        <w:docPartGallery w:val="Page Numbers (Bottom of Page)"/>
        <w:docPartUnique/>
      </w:docPartObj>
    </w:sdtPr>
    <w:sdtContent>
      <w:p w14:paraId="1D9D4FA3" w14:textId="74217AB7" w:rsidR="00E129DE" w:rsidRDefault="00E129DE" w:rsidP="006260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E5229">
          <w:rPr>
            <w:rStyle w:val="PageNumber"/>
            <w:noProof/>
          </w:rPr>
          <w:t>1</w:t>
        </w:r>
        <w:r>
          <w:rPr>
            <w:rStyle w:val="PageNumber"/>
          </w:rPr>
          <w:fldChar w:fldCharType="end"/>
        </w:r>
      </w:p>
    </w:sdtContent>
  </w:sdt>
  <w:p w14:paraId="05FAB24D" w14:textId="77777777" w:rsidR="00E129DE" w:rsidRDefault="00E12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eorgia" w:hAnsi="Georgia"/>
        <w:sz w:val="20"/>
        <w:szCs w:val="20"/>
      </w:rPr>
      <w:id w:val="-1254351401"/>
      <w:docPartObj>
        <w:docPartGallery w:val="Page Numbers (Bottom of Page)"/>
        <w:docPartUnique/>
      </w:docPartObj>
    </w:sdtPr>
    <w:sdtContent>
      <w:p w14:paraId="21CE2B2B" w14:textId="7F258003" w:rsidR="00E129DE" w:rsidRPr="00E129DE" w:rsidRDefault="00E129DE" w:rsidP="006260BE">
        <w:pPr>
          <w:pStyle w:val="Footer"/>
          <w:framePr w:wrap="none" w:vAnchor="text" w:hAnchor="margin" w:xAlign="center" w:y="1"/>
          <w:rPr>
            <w:rStyle w:val="PageNumber"/>
            <w:rFonts w:ascii="Georgia" w:hAnsi="Georgia"/>
            <w:sz w:val="20"/>
            <w:szCs w:val="20"/>
          </w:rPr>
        </w:pPr>
        <w:r w:rsidRPr="00E129DE">
          <w:rPr>
            <w:rStyle w:val="PageNumber"/>
            <w:rFonts w:ascii="Georgia" w:hAnsi="Georgia"/>
            <w:sz w:val="20"/>
            <w:szCs w:val="20"/>
          </w:rPr>
          <w:fldChar w:fldCharType="begin"/>
        </w:r>
        <w:r w:rsidRPr="00E129DE">
          <w:rPr>
            <w:rStyle w:val="PageNumber"/>
            <w:rFonts w:ascii="Georgia" w:hAnsi="Georgia"/>
            <w:sz w:val="20"/>
            <w:szCs w:val="20"/>
          </w:rPr>
          <w:instrText xml:space="preserve"> PAGE </w:instrText>
        </w:r>
        <w:r w:rsidRPr="00E129DE">
          <w:rPr>
            <w:rStyle w:val="PageNumber"/>
            <w:rFonts w:ascii="Georgia" w:hAnsi="Georgia"/>
            <w:sz w:val="20"/>
            <w:szCs w:val="20"/>
          </w:rPr>
          <w:fldChar w:fldCharType="separate"/>
        </w:r>
        <w:r w:rsidRPr="00E129DE">
          <w:rPr>
            <w:rStyle w:val="PageNumber"/>
            <w:rFonts w:ascii="Georgia" w:hAnsi="Georgia"/>
            <w:noProof/>
            <w:sz w:val="20"/>
            <w:szCs w:val="20"/>
          </w:rPr>
          <w:t>1</w:t>
        </w:r>
        <w:r w:rsidRPr="00E129DE">
          <w:rPr>
            <w:rStyle w:val="PageNumber"/>
            <w:rFonts w:ascii="Georgia" w:hAnsi="Georgia"/>
            <w:sz w:val="20"/>
            <w:szCs w:val="20"/>
          </w:rPr>
          <w:fldChar w:fldCharType="end"/>
        </w:r>
      </w:p>
    </w:sdtContent>
  </w:sdt>
  <w:p w14:paraId="21F4D00C" w14:textId="77777777" w:rsidR="00E129DE" w:rsidRDefault="00E12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9582" w14:textId="77777777" w:rsidR="00E7652B" w:rsidRDefault="00E7652B" w:rsidP="00E129DE">
      <w:pPr>
        <w:spacing w:after="0" w:line="240" w:lineRule="auto"/>
      </w:pPr>
      <w:r>
        <w:separator/>
      </w:r>
    </w:p>
  </w:footnote>
  <w:footnote w:type="continuationSeparator" w:id="0">
    <w:p w14:paraId="6DC236BB" w14:textId="77777777" w:rsidR="00E7652B" w:rsidRDefault="00E7652B" w:rsidP="00E129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24"/>
    <w:rsid w:val="000F69B4"/>
    <w:rsid w:val="00224ABF"/>
    <w:rsid w:val="002B7AEF"/>
    <w:rsid w:val="00303738"/>
    <w:rsid w:val="00330ACB"/>
    <w:rsid w:val="00340D71"/>
    <w:rsid w:val="003452B6"/>
    <w:rsid w:val="003C0371"/>
    <w:rsid w:val="003E34D2"/>
    <w:rsid w:val="004971B1"/>
    <w:rsid w:val="00530167"/>
    <w:rsid w:val="005405B1"/>
    <w:rsid w:val="00573ECD"/>
    <w:rsid w:val="005B2DA3"/>
    <w:rsid w:val="005C290F"/>
    <w:rsid w:val="005D2094"/>
    <w:rsid w:val="007A6CF2"/>
    <w:rsid w:val="00831B24"/>
    <w:rsid w:val="0093407B"/>
    <w:rsid w:val="009476FA"/>
    <w:rsid w:val="00B0090B"/>
    <w:rsid w:val="00B46111"/>
    <w:rsid w:val="00D910CE"/>
    <w:rsid w:val="00E129DE"/>
    <w:rsid w:val="00E63F4D"/>
    <w:rsid w:val="00E7652B"/>
    <w:rsid w:val="00FE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6F75"/>
  <w15:chartTrackingRefBased/>
  <w15:docId w15:val="{6E98B360-A7BD-6D40-A0B9-B6089426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Light" w:eastAsiaTheme="minorHAnsi" w:hAnsi="Avenir Light" w:cs="Times New Roman (Body CS)"/>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1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1B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1B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1B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1B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1B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1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1B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1B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1B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B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B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B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B24"/>
    <w:pPr>
      <w:spacing w:before="160"/>
      <w:jc w:val="center"/>
    </w:pPr>
    <w:rPr>
      <w:i/>
      <w:iCs/>
      <w:color w:val="404040" w:themeColor="text1" w:themeTint="BF"/>
    </w:rPr>
  </w:style>
  <w:style w:type="character" w:customStyle="1" w:styleId="QuoteChar">
    <w:name w:val="Quote Char"/>
    <w:basedOn w:val="DefaultParagraphFont"/>
    <w:link w:val="Quote"/>
    <w:uiPriority w:val="29"/>
    <w:rsid w:val="00831B24"/>
    <w:rPr>
      <w:i/>
      <w:iCs/>
      <w:color w:val="404040" w:themeColor="text1" w:themeTint="BF"/>
    </w:rPr>
  </w:style>
  <w:style w:type="paragraph" w:styleId="ListParagraph">
    <w:name w:val="List Paragraph"/>
    <w:basedOn w:val="Normal"/>
    <w:uiPriority w:val="34"/>
    <w:qFormat/>
    <w:rsid w:val="00831B24"/>
    <w:pPr>
      <w:ind w:left="720"/>
      <w:contextualSpacing/>
    </w:pPr>
  </w:style>
  <w:style w:type="character" w:styleId="IntenseEmphasis">
    <w:name w:val="Intense Emphasis"/>
    <w:basedOn w:val="DefaultParagraphFont"/>
    <w:uiPriority w:val="21"/>
    <w:qFormat/>
    <w:rsid w:val="00831B24"/>
    <w:rPr>
      <w:i/>
      <w:iCs/>
      <w:color w:val="0F4761" w:themeColor="accent1" w:themeShade="BF"/>
    </w:rPr>
  </w:style>
  <w:style w:type="paragraph" w:styleId="IntenseQuote">
    <w:name w:val="Intense Quote"/>
    <w:basedOn w:val="Normal"/>
    <w:next w:val="Normal"/>
    <w:link w:val="IntenseQuoteChar"/>
    <w:uiPriority w:val="30"/>
    <w:qFormat/>
    <w:rsid w:val="00831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24"/>
    <w:rPr>
      <w:i/>
      <w:iCs/>
      <w:color w:val="0F4761" w:themeColor="accent1" w:themeShade="BF"/>
    </w:rPr>
  </w:style>
  <w:style w:type="character" w:styleId="IntenseReference">
    <w:name w:val="Intense Reference"/>
    <w:basedOn w:val="DefaultParagraphFont"/>
    <w:uiPriority w:val="32"/>
    <w:qFormat/>
    <w:rsid w:val="00831B24"/>
    <w:rPr>
      <w:b/>
      <w:bCs/>
      <w:smallCaps/>
      <w:color w:val="0F4761" w:themeColor="accent1" w:themeShade="BF"/>
      <w:spacing w:val="5"/>
    </w:rPr>
  </w:style>
  <w:style w:type="character" w:styleId="Hyperlink">
    <w:name w:val="Hyperlink"/>
    <w:basedOn w:val="DefaultParagraphFont"/>
    <w:uiPriority w:val="99"/>
    <w:unhideWhenUsed/>
    <w:rsid w:val="00831B24"/>
    <w:rPr>
      <w:color w:val="0000FF"/>
      <w:u w:val="single"/>
    </w:rPr>
  </w:style>
  <w:style w:type="paragraph" w:customStyle="1" w:styleId="ember-view">
    <w:name w:val="ember-view"/>
    <w:basedOn w:val="Normal"/>
    <w:rsid w:val="00831B24"/>
    <w:pPr>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E12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9DE"/>
  </w:style>
  <w:style w:type="paragraph" w:styleId="Footer">
    <w:name w:val="footer"/>
    <w:basedOn w:val="Normal"/>
    <w:link w:val="FooterChar"/>
    <w:uiPriority w:val="99"/>
    <w:unhideWhenUsed/>
    <w:rsid w:val="00E12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DE"/>
  </w:style>
  <w:style w:type="character" w:styleId="PageNumber">
    <w:name w:val="page number"/>
    <w:basedOn w:val="DefaultParagraphFont"/>
    <w:uiPriority w:val="99"/>
    <w:semiHidden/>
    <w:unhideWhenUsed/>
    <w:rsid w:val="00E129DE"/>
  </w:style>
  <w:style w:type="character" w:styleId="UnresolvedMention">
    <w:name w:val="Unresolved Mention"/>
    <w:basedOn w:val="DefaultParagraphFont"/>
    <w:uiPriority w:val="99"/>
    <w:semiHidden/>
    <w:unhideWhenUsed/>
    <w:rsid w:val="00B4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725</Words>
  <Characters>4397</Characters>
  <Application>Microsoft Office Word</Application>
  <DocSecurity>0</DocSecurity>
  <Lines>175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Mavromichalis</dc:creator>
  <cp:keywords/>
  <dc:description/>
  <cp:lastModifiedBy>Ioannis Mavromichalis</cp:lastModifiedBy>
  <cp:revision>14</cp:revision>
  <dcterms:created xsi:type="dcterms:W3CDTF">2026-06-13T13:25:00Z</dcterms:created>
  <dcterms:modified xsi:type="dcterms:W3CDTF">2026-06-14T11:32:00Z</dcterms:modified>
</cp:coreProperties>
</file>